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03FF" w14:textId="77777777" w:rsidR="00D233BE" w:rsidRPr="00C92B31" w:rsidRDefault="00C92B31">
      <w:pPr>
        <w:pStyle w:val="a9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C92B31">
        <w:rPr>
          <w:rFonts w:ascii="方正小标宋简体" w:eastAsia="方正小标宋简体" w:hAnsi="宋体" w:cs="宋体" w:hint="eastAsia"/>
          <w:kern w:val="0"/>
          <w:sz w:val="44"/>
          <w:szCs w:val="44"/>
        </w:rPr>
        <w:t>关于重申分支机构管理五项制度的通知</w:t>
      </w:r>
    </w:p>
    <w:p w14:paraId="0867F773" w14:textId="77777777" w:rsidR="00D233BE" w:rsidRPr="00C92B31" w:rsidRDefault="00C92B31">
      <w:pPr>
        <w:pStyle w:val="a9"/>
        <w:ind w:firstLineChars="200" w:firstLine="560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C92B31">
        <w:rPr>
          <w:rFonts w:ascii="仿宋_GB2312" w:eastAsia="仿宋_GB2312" w:hAnsi="宋体" w:cs="宋体" w:hint="eastAsia"/>
          <w:kern w:val="0"/>
          <w:sz w:val="28"/>
          <w:szCs w:val="28"/>
        </w:rPr>
        <w:t>（试行稿）</w:t>
      </w:r>
    </w:p>
    <w:p w14:paraId="178CB7E5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鉴于近期民政部等有关部门对民间社团管理越来越重视，商会秘书处认为有必要重申商会对分支机构管理的五项制度，也希望各分支机构加强自身的管理意识和自觉遵守民政部、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全国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工商联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对社会组织的管理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和商会对分支机构管理的各项规定，现将五项制度分述如下：</w:t>
      </w:r>
    </w:p>
    <w:p w14:paraId="0C7779C0" w14:textId="77777777" w:rsidR="00D233BE" w:rsidRPr="00C92B31" w:rsidRDefault="00C92B31">
      <w:pPr>
        <w:pStyle w:val="a9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一、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网络巡查制度。</w:t>
      </w:r>
    </w:p>
    <w:p w14:paraId="5E867F02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、商会秘书处每季度安排一次网络巡查。</w:t>
      </w:r>
    </w:p>
    <w:p w14:paraId="68C35BC5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、重点巡查分支机构在名称使用、活动举办、评选表彰、自身宣传等方面有无违规违法情况。</w:t>
      </w:r>
    </w:p>
    <w:p w14:paraId="29A491EC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、尽量做到及时发现及时处理，避免造成不良影响。</w:t>
      </w:r>
    </w:p>
    <w:p w14:paraId="297EE028" w14:textId="77777777" w:rsidR="00D233BE" w:rsidRPr="00C92B31" w:rsidRDefault="00C92B31">
      <w:pPr>
        <w:pStyle w:val="a9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二、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专职秘书长制度。</w:t>
      </w:r>
    </w:p>
    <w:p w14:paraId="036A14B5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、根据相关规定，分支机构必须设立专职秘书长，以保证商会秘书处与分支机构联系渠道的畅通。</w:t>
      </w:r>
    </w:p>
    <w:p w14:paraId="17A923BF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、商会秘书处的工作部署一般通过分支机构秘书长具体落实。</w:t>
      </w:r>
    </w:p>
    <w:p w14:paraId="4ECD0E82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、为加强分支机构与商会秘书处的联系，商会秘书处将实施分支机构秘书长来商会轮流值班制度。</w:t>
      </w:r>
    </w:p>
    <w:p w14:paraId="2BB26CF1" w14:textId="77777777" w:rsidR="00D233BE" w:rsidRPr="00C92B31" w:rsidRDefault="00C92B31">
      <w:pPr>
        <w:pStyle w:val="a9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三、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年度检查制度。</w:t>
      </w:r>
    </w:p>
    <w:p w14:paraId="770A199D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、年检是商会对分支机构管理，尤其是对不在商会秘书处所在地区办公的分支机构管理的重要措施。</w:t>
      </w:r>
    </w:p>
    <w:p w14:paraId="5985817D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2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、从今年开始，商会秘书处将在商会所属分支机构中全面铺开。</w:t>
      </w:r>
    </w:p>
    <w:p w14:paraId="71C57026" w14:textId="77777777" w:rsidR="00D233BE" w:rsidRPr="00C92B31" w:rsidRDefault="00C92B31">
      <w:pPr>
        <w:pStyle w:val="a9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四、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年度审计制度。</w:t>
      </w:r>
    </w:p>
    <w:p w14:paraId="3E6C568B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、年度审计是商会对分支机构年检工作的重要组成部分。</w:t>
      </w:r>
    </w:p>
    <w:p w14:paraId="5D40EC55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、重点审计分支机构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经费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的来源、会费的收取情况和使用情况。</w:t>
      </w:r>
    </w:p>
    <w:p w14:paraId="1EB770EB" w14:textId="77777777" w:rsidR="00D233BE" w:rsidRPr="00C92B31" w:rsidRDefault="00C92B31">
      <w:pPr>
        <w:pStyle w:val="a9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五、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违规处罚制度。</w:t>
      </w:r>
    </w:p>
    <w:p w14:paraId="7E739A65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、严肃对分支机构违规情况的处罚，是强化对分支机构管理的重要措施，也是维护和保护商会分支机构平台的重要前提。</w:t>
      </w:r>
    </w:p>
    <w:p w14:paraId="33F70948" w14:textId="77777777" w:rsidR="00D233BE" w:rsidRPr="00C92B31" w:rsidRDefault="00C92B31">
      <w:pPr>
        <w:pStyle w:val="a9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、分支机构违规处罚制度包含五个程序，依据违规情况的严重程度顺序实施：一、约谈。二、通报。三、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停止活动</w:t>
      </w:r>
      <w:r w:rsidRPr="00C92B31">
        <w:rPr>
          <w:rFonts w:ascii="仿宋_GB2312" w:eastAsia="仿宋_GB2312" w:hAnsi="宋体" w:cs="宋体" w:hint="eastAsia"/>
          <w:kern w:val="0"/>
          <w:sz w:val="32"/>
          <w:szCs w:val="32"/>
        </w:rPr>
        <w:t>。四、撤销。</w:t>
      </w:r>
    </w:p>
    <w:p w14:paraId="272BDAE9" w14:textId="30EB3005" w:rsidR="00D233BE" w:rsidRDefault="00C92B31">
      <w:pPr>
        <w:pStyle w:val="a9"/>
        <w:rPr>
          <w:rFonts w:ascii="仿宋_GB2312" w:eastAsia="仿宋_GB2312" w:hAnsi="宋体" w:cs="宋体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sz w:val="32"/>
          <w:szCs w:val="32"/>
        </w:rPr>
        <w:t>六、本通知为试行稿，试行中通过听取各方面意见逐渐修订和完善。</w:t>
      </w:r>
    </w:p>
    <w:p w14:paraId="499E03F6" w14:textId="77777777" w:rsidR="00C92B31" w:rsidRPr="00C92B31" w:rsidRDefault="00C92B31">
      <w:pPr>
        <w:pStyle w:val="a9"/>
        <w:rPr>
          <w:rFonts w:ascii="仿宋_GB2312" w:eastAsia="仿宋_GB2312" w:hAnsi="宋体" w:cs="宋体" w:hint="eastAsia"/>
          <w:sz w:val="32"/>
          <w:szCs w:val="32"/>
        </w:rPr>
      </w:pPr>
    </w:p>
    <w:p w14:paraId="36A9E7D9" w14:textId="6BDA4DE5" w:rsidR="00C92B31" w:rsidRPr="00C92B31" w:rsidRDefault="00C92B31" w:rsidP="00C92B31">
      <w:pPr>
        <w:pStyle w:val="a9"/>
        <w:ind w:firstLineChars="1100" w:firstLine="3520"/>
        <w:rPr>
          <w:rFonts w:ascii="仿宋_GB2312" w:eastAsia="仿宋_GB2312" w:hAnsi="宋体" w:cs="宋体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sz w:val="32"/>
          <w:szCs w:val="32"/>
        </w:rPr>
        <w:t>全联民间文物艺术品商会秘书处</w:t>
      </w:r>
    </w:p>
    <w:p w14:paraId="5879E89F" w14:textId="2658C5D3" w:rsidR="00D233BE" w:rsidRPr="00C92B31" w:rsidRDefault="00C92B31" w:rsidP="00C92B31">
      <w:pPr>
        <w:pStyle w:val="a9"/>
        <w:ind w:firstLineChars="1500" w:firstLine="4800"/>
        <w:rPr>
          <w:rFonts w:ascii="仿宋_GB2312" w:eastAsia="仿宋_GB2312" w:hAnsi="宋体" w:cs="宋体" w:hint="eastAsia"/>
          <w:sz w:val="32"/>
          <w:szCs w:val="32"/>
        </w:rPr>
      </w:pPr>
      <w:r w:rsidRPr="00C92B31">
        <w:rPr>
          <w:rFonts w:ascii="仿宋_GB2312" w:eastAsia="仿宋_GB2312" w:hAnsi="宋体" w:cs="宋体" w:hint="eastAsia"/>
          <w:sz w:val="32"/>
          <w:szCs w:val="32"/>
        </w:rPr>
        <w:t>202</w:t>
      </w:r>
      <w:r w:rsidRPr="00C92B31">
        <w:rPr>
          <w:rFonts w:ascii="仿宋_GB2312" w:eastAsia="仿宋_GB2312" w:hAnsi="宋体" w:cs="宋体" w:hint="eastAsia"/>
          <w:sz w:val="32"/>
          <w:szCs w:val="32"/>
        </w:rPr>
        <w:t>1</w:t>
      </w:r>
      <w:r w:rsidRPr="00C92B31">
        <w:rPr>
          <w:rFonts w:ascii="仿宋_GB2312" w:eastAsia="仿宋_GB2312" w:hAnsi="宋体" w:cs="宋体" w:hint="eastAsia"/>
          <w:sz w:val="32"/>
          <w:szCs w:val="32"/>
        </w:rPr>
        <w:t>年</w:t>
      </w:r>
      <w:r w:rsidRPr="00C92B31">
        <w:rPr>
          <w:rFonts w:ascii="仿宋_GB2312" w:eastAsia="仿宋_GB2312" w:hAnsi="宋体" w:cs="宋体" w:hint="eastAsia"/>
          <w:sz w:val="32"/>
          <w:szCs w:val="32"/>
        </w:rPr>
        <w:t>5</w:t>
      </w:r>
      <w:r w:rsidRPr="00C92B31">
        <w:rPr>
          <w:rFonts w:ascii="仿宋_GB2312" w:eastAsia="仿宋_GB2312" w:hAnsi="宋体" w:cs="宋体" w:hint="eastAsia"/>
          <w:sz w:val="32"/>
          <w:szCs w:val="32"/>
        </w:rPr>
        <w:t>月</w:t>
      </w:r>
      <w:r w:rsidRPr="00C92B31">
        <w:rPr>
          <w:rFonts w:ascii="仿宋_GB2312" w:eastAsia="仿宋_GB2312" w:hAnsi="宋体" w:cs="宋体" w:hint="eastAsia"/>
          <w:sz w:val="32"/>
          <w:szCs w:val="32"/>
        </w:rPr>
        <w:t>20</w:t>
      </w:r>
      <w:r w:rsidRPr="00C92B31">
        <w:rPr>
          <w:rFonts w:ascii="仿宋_GB2312" w:eastAsia="仿宋_GB2312" w:hAnsi="宋体" w:cs="宋体" w:hint="eastAsia"/>
          <w:sz w:val="32"/>
          <w:szCs w:val="32"/>
        </w:rPr>
        <w:t>日</w:t>
      </w:r>
    </w:p>
    <w:sectPr w:rsidR="00D233BE" w:rsidRPr="00C92B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029"/>
    <w:rsid w:val="00983029"/>
    <w:rsid w:val="00A2768B"/>
    <w:rsid w:val="00C92B31"/>
    <w:rsid w:val="00D233BE"/>
    <w:rsid w:val="00EF5946"/>
    <w:rsid w:val="20C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2DF682"/>
  <w15:docId w15:val="{897583D5-975B-412C-88BF-75E35C9F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paragraph" w:styleId="a9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4">
    <w:name w:val="日期 字符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</dc:creator>
  <cp:lastModifiedBy>东方 凤凰</cp:lastModifiedBy>
  <cp:revision>3</cp:revision>
  <cp:lastPrinted>2021-06-08T05:50:00Z</cp:lastPrinted>
  <dcterms:created xsi:type="dcterms:W3CDTF">2021-05-19T22:11:00Z</dcterms:created>
  <dcterms:modified xsi:type="dcterms:W3CDTF">2021-06-08T05:50:00Z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B7E1466A7E1A4098A50A9C1D76493982</vt:lpwstr>
  </property>
</Properties>
</file>